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https://hop.clickbank.net/?affiliate=crcco&amp;vendor=amylguard&amp;tid=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</w:t>
      </w:r>
      <w:r w:rsidDel="00000000" w:rsidR="00000000" w:rsidRPr="00000000">
        <w:rPr>
          <w:b w:val="1"/>
          <w:rtl w:val="0"/>
        </w:rPr>
        <w:t xml:space="preserve">Fat-burning carbs </w:t>
      </w:r>
      <w:r w:rsidDel="00000000" w:rsidR="00000000" w:rsidRPr="00000000">
        <w:rPr>
          <w:rFonts w:ascii="Montserrat" w:cs="Montserrat" w:eastAsia="Montserrat" w:hAnsi="Montserrat"/>
          <w:b w:val="1"/>
          <w:color w:val="394962"/>
          <w:sz w:val="24"/>
          <w:szCs w:val="24"/>
          <w:rtl w:val="0"/>
        </w:rPr>
        <w:t xml:space="preserve">– </w:t>
      </w:r>
      <w:r w:rsidDel="00000000" w:rsidR="00000000" w:rsidRPr="00000000">
        <w:rPr>
          <w:b w:val="1"/>
          <w:rtl w:val="0"/>
        </w:rPr>
        <w:t xml:space="preserve">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This appetizer flushes out 57lbs of belly fat.</w:t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color w:val="394962"/>
          <w:rtl w:val="0"/>
        </w:rPr>
        <w:t xml:space="preserve">Ever wondered why everything you eat seems to stick to the waistline like glue?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39496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394962"/>
        </w:rPr>
      </w:pPr>
      <w:r w:rsidDel="00000000" w:rsidR="00000000" w:rsidRPr="00000000">
        <w:rPr>
          <w:color w:val="394962"/>
          <w:rtl w:val="0"/>
        </w:rPr>
        <w:t xml:space="preserve">If you’ve ever wondered why everything you eat seems to stick to the waistline like glue.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3949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394962"/>
        </w:rPr>
      </w:pPr>
      <w:r w:rsidDel="00000000" w:rsidR="00000000" w:rsidRPr="00000000">
        <w:rPr>
          <w:color w:val="394962"/>
          <w:rtl w:val="0"/>
        </w:rPr>
        <w:t xml:space="preserve">It’s because you have “fat making enzymes” that force the body to store all any favorite foods, like pizza, pasta, and cookies, as belly fat.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3949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394962"/>
        </w:rPr>
      </w:pPr>
      <w:r w:rsidDel="00000000" w:rsidR="00000000" w:rsidRPr="00000000">
        <w:rPr>
          <w:color w:val="394962"/>
          <w:rtl w:val="0"/>
        </w:rPr>
        <w:t xml:space="preserve">But new research from UCLA School of Medicine and Stanford University discovered a simple drop-dead way to poop out up to 57lbs of fat by eating an interesting appetizer before meals.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3949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5585d9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THIS APPETIZER FLUSHES OUT 57LBS OF BELLY FAT.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3949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0">
      <w:pPr>
        <w:rPr>
          <w:color w:val="394962"/>
        </w:rPr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3949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394962"/>
        </w:rPr>
      </w:pPr>
      <w:r w:rsidDel="00000000" w:rsidR="00000000" w:rsidRPr="00000000">
        <w:rPr>
          <w:color w:val="394962"/>
          <w:rtl w:val="0"/>
        </w:rPr>
        <w:t xml:space="preserve">PS. The best part is, you can slim your belly without giving up your favorite foods or doing any cardio.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3949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highlight w:val="whit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THIS APPETIZER FLUSHES OUT 57LBS OF BELLY FAT.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Montserrat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hop.clickbank.net/?affiliate=crcco&amp;vendor=amylguard&amp;tid=VAR_CUSTOMTAG_ID_45978_CVAR_CAMPAIGN_ID" TargetMode="External"/><Relationship Id="rId10" Type="http://schemas.openxmlformats.org/officeDocument/2006/relationships/hyperlink" Target="https://hop.clickbank.net/?affiliate=crcco&amp;vendor=amylguard&amp;tid=VAR_CUSTOMTAG_ID_45978_CVAR_CAMPAIGN_ID" TargetMode="External"/><Relationship Id="rId13" Type="http://schemas.openxmlformats.org/officeDocument/2006/relationships/hyperlink" Target="https://hop.clickbank.net/?affiliate=crcco&amp;vendor=amylguard&amp;tid=VAR_CUSTOMTAG_ID_45978_CVAR_CAMPAIGN_ID" TargetMode="External"/><Relationship Id="rId12" Type="http://schemas.openxmlformats.org/officeDocument/2006/relationships/hyperlink" Target="https://hop.clickbank.net/?affiliate=crcco&amp;vendor=amylguard&amp;t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Montserrat-regular.ttf"/><Relationship Id="rId5" Type="http://schemas.openxmlformats.org/officeDocument/2006/relationships/font" Target="fonts/Montserrat-bold.ttf"/><Relationship Id="rId6" Type="http://schemas.openxmlformats.org/officeDocument/2006/relationships/font" Target="fonts/Montserrat-italic.ttf"/><Relationship Id="rId7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