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pageBreakBefore w:val="0"/>
        <w:numPr>
          <w:ilvl w:val="0"/>
          <w:numId w:val="4"/>
        </w:numPr>
        <w:ind w:left="720" w:hanging="360"/>
        <w:rPr>
          <w:highlight w:val="white"/>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rtl w:val="0"/>
        </w:rPr>
        <w:t xml:space="preserve">Don’t miss encore weekend at the Regenerate Yourself Masterclass</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r w:rsidDel="00000000" w:rsidR="00000000" w:rsidRPr="00000000">
        <w:rPr>
          <w:rtl w:val="0"/>
        </w:rPr>
        <w:t xml:space="preserve">LAST CHANCE to unlock these COMPLIMENTARY gifts about your body’s miraculous, biological capacity to renew and regenerate</w:t>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Over 69,000 people have already accessed these eBooks from Sayer Ji this week! This is your last chance to unlock these COMPLIMENTARY gifts about your body’s miraculous, biological capacity to renew and regenerate – add them to your virtual medicine cabinet to learn at your own pace!</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+ 11 Ways to Detoxify Your Mind and Body eBook</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Regenerative Powers of Tumeric eBook</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Regenerate RX Complimentary Chapter</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Beyond the Button: Six Mushroom Varieties That Can Boost Your Health</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PLUS 3 Interview Transcripts from The Regenerate Yourself Masterclass from HealthMeans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ff9d31"/>
        </w:rPr>
      </w:pPr>
      <w:r w:rsidDel="00000000" w:rsidR="00000000" w:rsidRPr="00000000">
        <w:rPr>
          <w:b w:val="1"/>
          <w:rtl w:val="0"/>
        </w:rPr>
        <w:t xml:space="preserve">—&gt;&gt;</w:t>
      </w:r>
      <w:hyperlink r:id="rId10">
        <w:r w:rsidDel="00000000" w:rsidR="00000000" w:rsidRPr="00000000">
          <w:rPr>
            <w:b w:val="1"/>
            <w:color w:val="1155cc"/>
            <w:u w:val="single"/>
            <w:rtl w:val="0"/>
          </w:rPr>
          <w:t xml:space="preserve">Unlock these 5 healthy eBooks (and others below) now!</w:t>
        </w:r>
      </w:hyperlink>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I encourage you to do so —&gt;&gt; when you do, you ALSO UNLOCK a ton of other free resources from last week’s the Regenerate Yourself Masterclass, including:</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+ 9 eBooks from other health experts (titles below!)</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+ 7 incredible masterclass modules this weekend</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Expert talks with Dr. Joel Bohémier, Kevin Ellis and Dr. Sachin Patel</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Kitchen demo with Tania Melkonian: The Regenerator Smoothie</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It’s encore week (and weekend) at the Regenerate Yourself Masterclass!</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b w:val="1"/>
          <w:rtl w:val="0"/>
        </w:rPr>
        <w:t xml:space="preserve">You can start reading (and downloading) these eBooks now</w:t>
      </w:r>
      <w:r w:rsidDel="00000000" w:rsidR="00000000" w:rsidRPr="00000000">
        <w:rPr>
          <w:rtl w:val="0"/>
        </w:rPr>
        <w:t xml:space="preserve">:</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+ 20 Ways to Build Resilience eBook from HealthMeans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Cleanse Your Liver Now: 7 Day Liver Cleanse and Gallbladder Flush from Dr. David Jockers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The Anti-Cancer Diet eBook from Nathan Crane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Top 8 Secrets of The Worlds Healthiest, Longest-Living Populations eGuide from Jason Prall</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+ 25 Surprisingly TOXIC Everyday Products to Stop Feeding Your Body eReport from Brian Vaszily</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Energy, Frequency, Vibration: A Discussion on the Relationship Between Sleep &amp; Sound eBook from Lloyd Burrell</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Four Ways to Fight for Freedom eGuide from Bailey Kuykendoll</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Essential Oils for 5G &amp; EMF Protection eGuide from Eric Zielinski</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+ 359-page Autoimmune Answers: Complete 10 Episode Transcripts from Jonathan Otto</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These assets are all about giving you knowledge about good health.</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ff9d31"/>
        </w:rPr>
      </w:pPr>
      <w:r w:rsidDel="00000000" w:rsidR="00000000" w:rsidRPr="00000000">
        <w:rPr>
          <w:rtl w:val="0"/>
        </w:rPr>
        <w:t xml:space="preserve">—&gt;</w:t>
      </w:r>
      <w:hyperlink r:id="rId11">
        <w:r w:rsidDel="00000000" w:rsidR="00000000" w:rsidRPr="00000000">
          <w:rPr>
            <w:b w:val="1"/>
            <w:color w:val="1155cc"/>
            <w:u w:val="single"/>
            <w:rtl w:val="0"/>
          </w:rPr>
          <w:t xml:space="preserve">Click here to unlock the eBooks (and reserve your seat) for the encore of the Regenerate Yourself Masterclass!</w:t>
        </w:r>
      </w:hyperlink>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b w:val="1"/>
          <w:rtl w:val="0"/>
        </w:rPr>
        <w:t xml:space="preserve">Then, this weekend (starting at 10am US Eastern on Saturday) find time to learn from these expert courses with Sayer Ji:</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1: The New Biology Revolution</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2: Regenerate Your Heart and Brain</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3: Regenerate Your Metabolism, Optimize Your Weight</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4: Regenerate Yourself Through Detoxification</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5: Regenerate Your Endocrine System &amp; Promote Longevity</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6: Regenerate Your Immune System</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Module 7: Regenerate Yourself Through Fitness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PLUS 10 supporting expert interviews!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b w:val="1"/>
          <w:rtl w:val="0"/>
        </w:rPr>
        <w:t xml:space="preserve">Take advantage of this health information by clicking the link below:</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—&gt;</w:t>
      </w:r>
      <w:hyperlink r:id="rId12">
        <w:r w:rsidDel="00000000" w:rsidR="00000000" w:rsidRPr="00000000">
          <w:rPr>
            <w:b w:val="1"/>
            <w:color w:val="1155cc"/>
            <w:u w:val="single"/>
            <w:rtl w:val="0"/>
          </w:rPr>
          <w:t xml:space="preserve">Unlock your complimentary eBooks today</w:t>
        </w:r>
      </w:hyperlink>
      <w:r w:rsidDel="00000000" w:rsidR="00000000" w:rsidRPr="00000000">
        <w:rPr>
          <w:rtl w:val="0"/>
        </w:rPr>
        <w:t xml:space="preserve"> and then join me this weekend for the encore of this important health event!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8F">
      <w:pPr>
        <w:rPr>
          <w:highlight w:val="white"/>
        </w:rPr>
      </w:pPr>
      <w:r w:rsidDel="00000000" w:rsidR="00000000" w:rsidRPr="00000000">
        <w:rPr>
          <w:highlight w:val="white"/>
          <w:rtl w:val="0"/>
        </w:rPr>
        <w:t xml:space="preserve">To your health,</w:t>
      </w:r>
    </w:p>
    <w:p w:rsidR="00000000" w:rsidDel="00000000" w:rsidP="00000000" w:rsidRDefault="00000000" w:rsidRPr="00000000" w14:paraId="00000090">
      <w:pPr>
        <w:rPr>
          <w:highlight w:val="white"/>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P.S. I encourage you to find time in your schedule to download these eBooks ASAP, since they disappear once the event ends, then enjoy the replay this weekend — you’ll see how incredible this event truly is!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generatemasterclass.byhealthmeans.com/?idev_id=32997" TargetMode="External"/><Relationship Id="rId10" Type="http://schemas.openxmlformats.org/officeDocument/2006/relationships/hyperlink" Target="https://regeneratemasterclass.byhealthmeans.com/?idev_id=32997" TargetMode="External"/><Relationship Id="rId12" Type="http://schemas.openxmlformats.org/officeDocument/2006/relationships/hyperlink" Target="https://regeneratemasterclass.byhealthmeans.com/?idev_id=32997" TargetMode="External"/><Relationship Id="rId9" Type="http://schemas.openxmlformats.org/officeDocument/2006/relationships/hyperlink" Target="http://crcco.alexpfs.hop.clickbank.net/?tid=%5Buu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