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https://hop.clickbank.net/?vendor=javaburn&amp;affiliate=crcco&amp;lid=6100&amp;tid=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Coffee + this = fast metabolism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Transform your morning coffee into a fat-burning dream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If you enjoy your coffee, your life is about to get a whole lot better :)</w:t>
      </w:r>
    </w:p>
    <w:p w:rsidR="00000000" w:rsidDel="00000000" w:rsidP="00000000" w:rsidRDefault="00000000" w:rsidRPr="00000000" w14:paraId="0000004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newly discovered 10-second coffee trick you'll see at the link below naturally transforms your morning coffee into a fat-burning dream.</w:t>
      </w:r>
    </w:p>
    <w:p w:rsidR="00000000" w:rsidDel="00000000" w:rsidP="00000000" w:rsidRDefault="00000000" w:rsidRPr="00000000" w14:paraId="0000004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Plus, it makes everything you love about coffee so much better.</w:t>
      </w:r>
    </w:p>
    <w:p w:rsidR="00000000" w:rsidDel="00000000" w:rsidP="00000000" w:rsidRDefault="00000000" w:rsidRPr="00000000" w14:paraId="0000004C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Here's to kickstarting your morning off right.</w:t>
      </w:r>
    </w:p>
    <w:p w:rsidR="00000000" w:rsidDel="00000000" w:rsidP="00000000" w:rsidRDefault="00000000" w:rsidRPr="00000000" w14:paraId="0000004E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b w:val="1"/>
          <w:color w:val="0033cc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color w:val="0033cc"/>
          <w:sz w:val="24"/>
          <w:szCs w:val="24"/>
          <w:highlight w:val="white"/>
          <w:rtl w:val="0"/>
        </w:rPr>
        <w:t xml:space="preserve">==&gt;  </w:t>
      </w:r>
      <w:r w:rsidDel="00000000" w:rsidR="00000000" w:rsidRPr="00000000">
        <w:rPr>
          <w:b w:val="1"/>
          <w:color w:val="0033cc"/>
          <w:sz w:val="24"/>
          <w:szCs w:val="24"/>
          <w:highlight w:val="white"/>
          <w:u w:val="single"/>
          <w:rtl w:val="0"/>
        </w:rPr>
        <w:t xml:space="preserve">Try This 10 Second Morning Coffee Trick!</w:t>
      </w:r>
    </w:p>
    <w:p w:rsidR="00000000" w:rsidDel="00000000" w:rsidP="00000000" w:rsidRDefault="00000000" w:rsidRPr="00000000" w14:paraId="0000005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op.clickbank.net/?vendor=javaburn&amp;affiliate=crcco&amp;lid=6100&amp;tid=VAR_CUSTOMTAG_ID_45978_CVAR_CAMPAIGN_ID" TargetMode="External"/><Relationship Id="rId10" Type="http://schemas.openxmlformats.org/officeDocument/2006/relationships/hyperlink" Target="https://hop.clickbank.net/?vendor=javaburn&amp;affiliate=crcco&amp;lid=6100&amp;tid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